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AAF9" w14:textId="2CB1B75D" w:rsidR="00145EB6" w:rsidRDefault="00D37B9C" w:rsidP="0073700D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73700D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חומר למבחן </w:t>
      </w:r>
      <w:r w:rsidR="0073700D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קיץ </w:t>
      </w:r>
      <w:r w:rsidRPr="0073700D">
        <w:rPr>
          <w:rFonts w:ascii="David" w:hAnsi="David" w:cs="David" w:hint="cs"/>
          <w:b/>
          <w:bCs/>
          <w:sz w:val="28"/>
          <w:szCs w:val="28"/>
          <w:u w:val="single"/>
          <w:rtl/>
        </w:rPr>
        <w:t>במדעים (</w:t>
      </w:r>
      <w:r w:rsidR="00B80CAC">
        <w:rPr>
          <w:rFonts w:ascii="David" w:hAnsi="David" w:cs="David" w:hint="cs"/>
          <w:b/>
          <w:bCs/>
          <w:sz w:val="28"/>
          <w:szCs w:val="28"/>
          <w:u w:val="single"/>
          <w:rtl/>
        </w:rPr>
        <w:t>מדעי החיים</w:t>
      </w:r>
      <w:r w:rsidRPr="0073700D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) </w:t>
      </w:r>
      <w:r w:rsidR="00677B12" w:rsidRPr="0073700D"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 w:rsidRPr="0073700D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תשפ</w:t>
      </w:r>
    </w:p>
    <w:p w14:paraId="74A6399D" w14:textId="77777777" w:rsidR="0073700D" w:rsidRPr="007960C2" w:rsidRDefault="0073700D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right="510"/>
        <w:rPr>
          <w:rStyle w:val="a4"/>
          <w:rFonts w:ascii="David" w:hAnsi="David" w:cs="David"/>
          <w:color w:val="002060"/>
          <w:rtl/>
        </w:rPr>
      </w:pPr>
      <w:r w:rsidRPr="007960C2">
        <w:rPr>
          <w:rStyle w:val="a4"/>
          <w:rFonts w:ascii="David" w:hAnsi="David" w:cs="David" w:hint="cs"/>
          <w:color w:val="002060"/>
          <w:rtl/>
        </w:rPr>
        <w:t>חומרי הלמידה נמצאים במחברותיכם, בספר הלימוד , במשימות שבילקוט הדיגיטלי, בדפי העבודה שחולקו לכם ובמצגות המצורפות למודל</w:t>
      </w:r>
    </w:p>
    <w:p w14:paraId="6FDB494B" w14:textId="47B8383D" w:rsidR="00677B12" w:rsidRPr="0073700D" w:rsidRDefault="00677B12" w:rsidP="0073700D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73700D">
        <w:rPr>
          <w:rFonts w:ascii="David" w:hAnsi="David" w:cs="David" w:hint="cs"/>
          <w:b/>
          <w:bCs/>
          <w:sz w:val="28"/>
          <w:szCs w:val="28"/>
          <w:u w:val="single"/>
          <w:rtl/>
        </w:rPr>
        <w:t>נושאים בביולוגיה</w:t>
      </w:r>
    </w:p>
    <w:p w14:paraId="118037A2" w14:textId="77777777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right="510"/>
        <w:rPr>
          <w:rStyle w:val="a4"/>
          <w:rFonts w:ascii="David" w:hAnsi="David" w:cs="David"/>
          <w:b w:val="0"/>
          <w:bCs w:val="0"/>
          <w:rtl/>
        </w:rPr>
      </w:pPr>
      <w:r w:rsidRPr="007960C2">
        <w:rPr>
          <w:rStyle w:val="a4"/>
          <w:rFonts w:ascii="David" w:hAnsi="David" w:cs="David" w:hint="cs"/>
          <w:rtl/>
        </w:rPr>
        <w:t xml:space="preserve">חומרים אורגניים ואנאורגניים - </w:t>
      </w:r>
      <w:r w:rsidRPr="007960C2">
        <w:rPr>
          <w:rStyle w:val="a4"/>
          <w:rFonts w:ascii="David" w:hAnsi="David" w:cs="David" w:hint="cs"/>
          <w:b w:val="0"/>
          <w:bCs w:val="0"/>
          <w:rtl/>
        </w:rPr>
        <w:t>עמודים 69-71.</w:t>
      </w:r>
    </w:p>
    <w:p w14:paraId="7EE2FD31" w14:textId="77777777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 w:right="510"/>
        <w:rPr>
          <w:rStyle w:val="a4"/>
          <w:rFonts w:ascii="David" w:hAnsi="David" w:cs="David"/>
          <w:b w:val="0"/>
          <w:bCs w:val="0"/>
          <w:rtl/>
        </w:rPr>
      </w:pPr>
      <w:r w:rsidRPr="007960C2">
        <w:rPr>
          <w:rStyle w:val="a4"/>
          <w:rFonts w:ascii="David" w:hAnsi="David" w:cs="David" w:hint="cs"/>
          <w:b w:val="0"/>
          <w:bCs w:val="0"/>
          <w:rtl/>
        </w:rPr>
        <w:t>חומרים אורגניים: פחמימות, חלבונים, שומנים, ויטמינים</w:t>
      </w:r>
    </w:p>
    <w:p w14:paraId="65183B9B" w14:textId="77777777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 w:right="510"/>
        <w:rPr>
          <w:rStyle w:val="a4"/>
          <w:rFonts w:ascii="David" w:hAnsi="David" w:cs="David"/>
          <w:b w:val="0"/>
          <w:bCs w:val="0"/>
          <w:rtl/>
        </w:rPr>
      </w:pPr>
      <w:r w:rsidRPr="007960C2">
        <w:rPr>
          <w:rFonts w:ascii="David" w:hAnsi="David" w:cs="David" w:hint="cs"/>
          <w:rtl/>
        </w:rPr>
        <w:t>חומרים אנאורגניים: מים, מינרלים</w:t>
      </w:r>
    </w:p>
    <w:p w14:paraId="6DB39E6B" w14:textId="77777777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right="510"/>
        <w:rPr>
          <w:rStyle w:val="a4"/>
          <w:rFonts w:ascii="David" w:hAnsi="David" w:cs="David"/>
          <w:rtl/>
        </w:rPr>
      </w:pPr>
      <w:r w:rsidRPr="007960C2">
        <w:rPr>
          <w:rStyle w:val="a4"/>
          <w:rFonts w:ascii="David" w:hAnsi="David" w:cs="David" w:hint="cs"/>
          <w:rtl/>
        </w:rPr>
        <w:t>חומרים בגופם של יצורים חיים – עמוד 86, 126-127</w:t>
      </w:r>
    </w:p>
    <w:p w14:paraId="6312240F" w14:textId="0B8D297F" w:rsidR="00F31408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 w:right="510"/>
        <w:rPr>
          <w:rStyle w:val="a4"/>
          <w:rFonts w:ascii="David" w:hAnsi="David" w:cs="David"/>
          <w:b w:val="0"/>
          <w:bCs w:val="0"/>
          <w:rtl/>
        </w:rPr>
      </w:pPr>
      <w:r w:rsidRPr="007960C2">
        <w:rPr>
          <w:rStyle w:val="a4"/>
          <w:rFonts w:ascii="David" w:hAnsi="David" w:cs="David" w:hint="cs"/>
          <w:b w:val="0"/>
          <w:bCs w:val="0"/>
          <w:rtl/>
        </w:rPr>
        <w:t>תפקידים של החומרים בגופם של יצורים חיים</w:t>
      </w:r>
    </w:p>
    <w:p w14:paraId="417DB12C" w14:textId="2E8AE51A" w:rsidR="007960C2" w:rsidRPr="007960C2" w:rsidRDefault="007960C2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 w:right="510"/>
        <w:rPr>
          <w:rStyle w:val="a4"/>
          <w:rFonts w:ascii="David" w:hAnsi="David" w:cs="David"/>
          <w:b w:val="0"/>
          <w:bCs w:val="0"/>
          <w:rtl/>
        </w:rPr>
      </w:pPr>
      <w:r>
        <w:rPr>
          <w:rStyle w:val="a4"/>
          <w:rFonts w:ascii="David" w:hAnsi="David" w:cs="David" w:hint="cs"/>
          <w:b w:val="0"/>
          <w:bCs w:val="0"/>
          <w:rtl/>
        </w:rPr>
        <w:t>חומרים אורגנים וחומרים אנאורגנים</w:t>
      </w:r>
    </w:p>
    <w:p w14:paraId="3AA5B8D1" w14:textId="50EDB5FD" w:rsidR="00F31408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rPr>
          <w:rFonts w:ascii="David" w:hAnsi="David" w:cs="David"/>
          <w:b/>
          <w:bCs/>
          <w:u w:val="single"/>
          <w:rtl/>
        </w:rPr>
      </w:pPr>
      <w:r w:rsidRPr="007960C2">
        <w:rPr>
          <w:rStyle w:val="a4"/>
          <w:rFonts w:ascii="David" w:hAnsi="David" w:cs="David" w:hint="cs"/>
          <w:rtl/>
        </w:rPr>
        <w:t>חומרים אורגניים במרכיבי המזון</w:t>
      </w:r>
      <w:r w:rsidRPr="007960C2">
        <w:rPr>
          <w:rStyle w:val="a4"/>
          <w:rFonts w:ascii="David" w:hAnsi="David" w:cs="David" w:hint="cs"/>
        </w:rPr>
        <w:t>:</w:t>
      </w:r>
    </w:p>
    <w:p w14:paraId="1AC20EF3" w14:textId="21C42D9C" w:rsidR="007960C2" w:rsidRPr="007960C2" w:rsidRDefault="007960C2" w:rsidP="0073700D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303" w:right="510"/>
        <w:rPr>
          <w:rFonts w:ascii="David" w:hAnsi="David" w:cs="David"/>
          <w:rtl/>
        </w:rPr>
      </w:pPr>
      <w:r w:rsidRPr="007960C2">
        <w:rPr>
          <w:rFonts w:ascii="David" w:hAnsi="David" w:cs="David"/>
          <w:rtl/>
        </w:rPr>
        <w:t>פחמימות, חלבונים, שומנים, ויטמינים</w:t>
      </w:r>
    </w:p>
    <w:p w14:paraId="4A6B8B0B" w14:textId="77777777" w:rsidR="007960C2" w:rsidRPr="007960C2" w:rsidRDefault="007960C2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rPr>
          <w:rFonts w:ascii="David" w:hAnsi="David" w:cs="David"/>
          <w:b/>
          <w:bCs/>
          <w:u w:val="single"/>
          <w:rtl/>
        </w:rPr>
      </w:pPr>
    </w:p>
    <w:p w14:paraId="02B0098A" w14:textId="77777777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/>
        <w:rPr>
          <w:rFonts w:ascii="David" w:hAnsi="David" w:cs="David"/>
          <w:rtl/>
        </w:rPr>
      </w:pPr>
      <w:r w:rsidRPr="007960C2">
        <w:rPr>
          <w:rStyle w:val="a4"/>
          <w:rFonts w:ascii="David" w:hAnsi="David" w:cs="David" w:hint="cs"/>
          <w:rtl/>
        </w:rPr>
        <w:t>פחמימות</w:t>
      </w:r>
      <w:r w:rsidRPr="007960C2">
        <w:rPr>
          <w:rFonts w:ascii="David" w:hAnsi="David" w:cs="David" w:hint="cs"/>
        </w:rPr>
        <w:t xml:space="preserve"> - </w:t>
      </w:r>
      <w:r w:rsidRPr="007960C2">
        <w:rPr>
          <w:rFonts w:ascii="David" w:hAnsi="David" w:cs="David" w:hint="cs"/>
          <w:rtl/>
        </w:rPr>
        <w:t>עמודים 86-90.171  </w:t>
      </w:r>
    </w:p>
    <w:p w14:paraId="0A6C2E2D" w14:textId="77777777" w:rsidR="0073700D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/>
        <w:rPr>
          <w:rFonts w:ascii="David" w:hAnsi="David" w:cs="David"/>
          <w:rtl/>
        </w:rPr>
      </w:pPr>
      <w:r w:rsidRPr="007960C2">
        <w:rPr>
          <w:rFonts w:ascii="David" w:hAnsi="David" w:cs="David" w:hint="cs"/>
          <w:rtl/>
        </w:rPr>
        <w:t>מאפייני הפחמימות ותפקידן , מבנה הפחמימות וסוג האטומים הבונים אותם</w:t>
      </w:r>
      <w:r w:rsidR="0073700D">
        <w:rPr>
          <w:rFonts w:ascii="David" w:hAnsi="David" w:cs="David" w:hint="cs"/>
          <w:rtl/>
        </w:rPr>
        <w:t xml:space="preserve"> </w:t>
      </w:r>
    </w:p>
    <w:p w14:paraId="366A9DEB" w14:textId="642C169B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/>
        <w:rPr>
          <w:rFonts w:ascii="David" w:hAnsi="David" w:cs="David"/>
          <w:rtl/>
        </w:rPr>
      </w:pPr>
      <w:r w:rsidRPr="007960C2">
        <w:rPr>
          <w:rFonts w:ascii="David" w:hAnsi="David" w:cs="David" w:hint="cs"/>
          <w:rtl/>
        </w:rPr>
        <w:t>מיון הפחמימות: ל, חד סוכר, דו סוכר ורב סוכר</w:t>
      </w:r>
    </w:p>
    <w:p w14:paraId="33390F59" w14:textId="77777777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/>
        <w:rPr>
          <w:rFonts w:ascii="David" w:hAnsi="David" w:cs="David"/>
          <w:rtl/>
        </w:rPr>
      </w:pPr>
      <w:r w:rsidRPr="007960C2">
        <w:rPr>
          <w:rFonts w:ascii="David" w:hAnsi="David" w:cs="David" w:hint="cs"/>
          <w:rtl/>
        </w:rPr>
        <w:t>אבני הבניין של פחמימות.</w:t>
      </w:r>
    </w:p>
    <w:p w14:paraId="10A8A088" w14:textId="3FBC623B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/>
        <w:rPr>
          <w:rFonts w:ascii="David" w:hAnsi="David" w:cs="David"/>
        </w:rPr>
      </w:pPr>
      <w:r w:rsidRPr="007960C2">
        <w:rPr>
          <w:rFonts w:ascii="David" w:hAnsi="David" w:cs="David" w:hint="cs"/>
          <w:rtl/>
        </w:rPr>
        <w:t>חומר תשמורת – עמוד 87</w:t>
      </w:r>
    </w:p>
    <w:p w14:paraId="302341EC" w14:textId="3A72DE62" w:rsidR="00F31408" w:rsidRDefault="00F31408" w:rsidP="0073700D">
      <w:pPr>
        <w:spacing w:after="0" w:line="360" w:lineRule="auto"/>
        <w:ind w:left="227"/>
        <w:rPr>
          <w:rFonts w:ascii="David" w:eastAsia="Times New Roman" w:hAnsi="David" w:cs="David"/>
          <w:sz w:val="24"/>
          <w:szCs w:val="24"/>
          <w:rtl/>
          <w:lang w:bidi="ar-SA"/>
        </w:rPr>
      </w:pPr>
      <w:r w:rsidRPr="007960C2">
        <w:rPr>
          <w:rStyle w:val="a4"/>
          <w:rFonts w:ascii="David" w:hAnsi="David" w:cs="David" w:hint="cs"/>
          <w:b w:val="0"/>
          <w:bCs w:val="0"/>
          <w:sz w:val="24"/>
          <w:szCs w:val="24"/>
          <w:rtl/>
        </w:rPr>
        <w:t xml:space="preserve">פחמימות שיש להכיר: גלוקוז, סוכרוז, עמילן כדוגמה לרב-סוכר (פולימר), </w:t>
      </w:r>
      <w:r w:rsidRPr="007960C2">
        <w:rPr>
          <w:rFonts w:ascii="David" w:eastAsia="Times New Roman" w:hAnsi="David" w:cs="David" w:hint="cs"/>
          <w:sz w:val="24"/>
          <w:szCs w:val="24"/>
          <w:shd w:val="clear" w:color="auto" w:fill="FFFFFF"/>
          <w:rtl/>
        </w:rPr>
        <w:t>גליקוגן, תאית</w:t>
      </w:r>
    </w:p>
    <w:p w14:paraId="63CA1643" w14:textId="77777777" w:rsidR="007960C2" w:rsidRPr="007960C2" w:rsidRDefault="007960C2" w:rsidP="0073700D">
      <w:pPr>
        <w:spacing w:after="0" w:line="360" w:lineRule="auto"/>
        <w:ind w:left="227"/>
        <w:rPr>
          <w:rFonts w:ascii="David" w:eastAsia="Times New Roman" w:hAnsi="David" w:cs="David"/>
          <w:sz w:val="24"/>
          <w:szCs w:val="24"/>
          <w:lang w:bidi="ar-SA"/>
        </w:rPr>
      </w:pPr>
    </w:p>
    <w:p w14:paraId="640C3D10" w14:textId="77777777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right="510"/>
        <w:rPr>
          <w:rFonts w:ascii="David" w:hAnsi="David" w:cs="David"/>
          <w:rtl/>
        </w:rPr>
      </w:pPr>
      <w:r w:rsidRPr="007960C2">
        <w:rPr>
          <w:rStyle w:val="a4"/>
          <w:rFonts w:ascii="David" w:hAnsi="David" w:cs="David" w:hint="cs"/>
          <w:rtl/>
        </w:rPr>
        <w:t>חלבונים</w:t>
      </w:r>
      <w:r w:rsidRPr="007960C2">
        <w:rPr>
          <w:rFonts w:ascii="David" w:hAnsi="David" w:cs="David" w:hint="cs"/>
        </w:rPr>
        <w:t xml:space="preserve"> - </w:t>
      </w:r>
      <w:r w:rsidRPr="007960C2">
        <w:rPr>
          <w:rFonts w:ascii="David" w:hAnsi="David" w:cs="David" w:hint="cs"/>
          <w:rtl/>
        </w:rPr>
        <w:t>עמודים 94-99.172</w:t>
      </w:r>
    </w:p>
    <w:p w14:paraId="448F8786" w14:textId="77777777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 w:right="510"/>
        <w:rPr>
          <w:rFonts w:ascii="David" w:hAnsi="David" w:cs="David"/>
          <w:rtl/>
        </w:rPr>
      </w:pPr>
      <w:r w:rsidRPr="007960C2">
        <w:rPr>
          <w:rFonts w:ascii="David" w:hAnsi="David" w:cs="David" w:hint="cs"/>
          <w:rtl/>
        </w:rPr>
        <w:t>מאפייני החלבונים ותפקידם (חלבוני פעולה וחלבוני מבנה), מבנה החלבונים וסוג האטומים הבונים אותם</w:t>
      </w:r>
    </w:p>
    <w:p w14:paraId="514EEB0F" w14:textId="03A46990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 w:right="510"/>
        <w:rPr>
          <w:rFonts w:ascii="David" w:hAnsi="David" w:cs="David"/>
          <w:rtl/>
        </w:rPr>
      </w:pPr>
      <w:r w:rsidRPr="007960C2">
        <w:rPr>
          <w:rFonts w:ascii="David" w:hAnsi="David" w:cs="David" w:hint="cs"/>
          <w:rtl/>
        </w:rPr>
        <w:t xml:space="preserve">אבני הבניין של </w:t>
      </w:r>
      <w:r w:rsidR="007960C2" w:rsidRPr="007960C2">
        <w:rPr>
          <w:rFonts w:ascii="David" w:hAnsi="David" w:cs="David" w:hint="cs"/>
          <w:rtl/>
        </w:rPr>
        <w:t>חלבונים</w:t>
      </w:r>
      <w:r w:rsidRPr="007960C2">
        <w:rPr>
          <w:rFonts w:ascii="David" w:hAnsi="David" w:cs="David" w:hint="cs"/>
          <w:rtl/>
        </w:rPr>
        <w:t>, ישנן 20 סוגי חומצות אמינו , שחלקן חיוניות לגוף.</w:t>
      </w:r>
    </w:p>
    <w:p w14:paraId="6B043030" w14:textId="77777777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 w:right="510"/>
        <w:rPr>
          <w:rFonts w:ascii="David" w:hAnsi="David" w:cs="David"/>
        </w:rPr>
      </w:pPr>
      <w:r w:rsidRPr="007960C2">
        <w:rPr>
          <w:rFonts w:ascii="David" w:hAnsi="David" w:cs="David" w:hint="cs"/>
          <w:rtl/>
        </w:rPr>
        <w:t>מזונות עשירים בחלבון : מוצרי חלב, בשר וקטניות - עמ׳ 172</w:t>
      </w:r>
    </w:p>
    <w:p w14:paraId="770C7E45" w14:textId="4DBF8467" w:rsidR="00683D07" w:rsidRDefault="00683D07" w:rsidP="0073700D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19" w:right="510"/>
        <w:rPr>
          <w:rFonts w:ascii="David" w:hAnsi="David" w:cs="David"/>
          <w:rtl/>
        </w:rPr>
      </w:pPr>
    </w:p>
    <w:p w14:paraId="12D292F1" w14:textId="27FD3B31" w:rsidR="0073700D" w:rsidRDefault="0073700D" w:rsidP="0073700D">
      <w:pPr>
        <w:pStyle w:val="NormalWeb"/>
        <w:shd w:val="clear" w:color="auto" w:fill="FFFFFF"/>
        <w:bidi/>
        <w:spacing w:before="0" w:beforeAutospacing="0" w:after="0" w:afterAutospacing="0" w:line="360" w:lineRule="auto"/>
        <w:ind w:right="510"/>
        <w:rPr>
          <w:rFonts w:ascii="David" w:hAnsi="David" w:cs="David"/>
          <w:rtl/>
        </w:rPr>
      </w:pPr>
    </w:p>
    <w:p w14:paraId="38D483B8" w14:textId="4BCDF72B" w:rsidR="0073700D" w:rsidRDefault="0073700D" w:rsidP="0073700D">
      <w:pPr>
        <w:pStyle w:val="NormalWeb"/>
        <w:shd w:val="clear" w:color="auto" w:fill="FFFFFF"/>
        <w:bidi/>
        <w:spacing w:before="0" w:beforeAutospacing="0" w:after="0" w:afterAutospacing="0" w:line="360" w:lineRule="auto"/>
        <w:ind w:right="510"/>
        <w:rPr>
          <w:rFonts w:ascii="David" w:hAnsi="David" w:cs="David"/>
          <w:rtl/>
        </w:rPr>
      </w:pPr>
    </w:p>
    <w:p w14:paraId="379017D8" w14:textId="2DEF9089" w:rsidR="0073700D" w:rsidRDefault="0073700D" w:rsidP="0073700D">
      <w:pPr>
        <w:pStyle w:val="NormalWeb"/>
        <w:shd w:val="clear" w:color="auto" w:fill="FFFFFF"/>
        <w:bidi/>
        <w:spacing w:before="0" w:beforeAutospacing="0" w:after="0" w:afterAutospacing="0" w:line="360" w:lineRule="auto"/>
        <w:ind w:right="510"/>
        <w:rPr>
          <w:rFonts w:ascii="David" w:hAnsi="David" w:cs="David"/>
          <w:rtl/>
        </w:rPr>
      </w:pPr>
    </w:p>
    <w:p w14:paraId="5A88B428" w14:textId="77777777" w:rsidR="0073700D" w:rsidRDefault="0073700D" w:rsidP="0073700D">
      <w:pPr>
        <w:pStyle w:val="NormalWeb"/>
        <w:shd w:val="clear" w:color="auto" w:fill="FFFFFF"/>
        <w:bidi/>
        <w:spacing w:before="0" w:beforeAutospacing="0" w:after="0" w:afterAutospacing="0" w:line="360" w:lineRule="auto"/>
        <w:ind w:right="510"/>
        <w:rPr>
          <w:rFonts w:ascii="David" w:hAnsi="David" w:cs="David"/>
          <w:rtl/>
        </w:rPr>
      </w:pPr>
    </w:p>
    <w:p w14:paraId="4D7E9F8A" w14:textId="48F13A06" w:rsidR="00683D07" w:rsidRDefault="0073700D" w:rsidP="0073700D">
      <w:pPr>
        <w:tabs>
          <w:tab w:val="num" w:pos="720"/>
        </w:tabs>
        <w:spacing w:after="0" w:line="360" w:lineRule="auto"/>
        <w:ind w:right="420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73700D">
        <w:rPr>
          <w:rFonts w:ascii="David" w:hAnsi="David" w:cs="David" w:hint="cs"/>
          <w:b/>
          <w:bCs/>
          <w:color w:val="000000"/>
          <w:sz w:val="28"/>
          <w:szCs w:val="28"/>
          <w:rtl/>
        </w:rPr>
        <w:lastRenderedPageBreak/>
        <w:t xml:space="preserve">הזנה ועיכול באדם ובבעלי חיים </w:t>
      </w:r>
      <w:r w:rsidR="00683D07" w:rsidRPr="0073700D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Pr="0073700D">
        <w:rPr>
          <w:rFonts w:ascii="David" w:hAnsi="David" w:cs="David" w:hint="cs"/>
          <w:b/>
          <w:bCs/>
          <w:color w:val="000000"/>
          <w:sz w:val="28"/>
          <w:szCs w:val="28"/>
          <w:rtl/>
        </w:rPr>
        <w:t>(150-168)</w:t>
      </w:r>
    </w:p>
    <w:p w14:paraId="1CED19AE" w14:textId="77777777" w:rsidR="0073700D" w:rsidRDefault="0073700D" w:rsidP="0073700D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19" w:right="510"/>
        <w:rPr>
          <w:rFonts w:ascii="David" w:hAnsi="David" w:cs="David"/>
          <w:rtl/>
        </w:rPr>
      </w:pPr>
    </w:p>
    <w:p w14:paraId="2507A08A" w14:textId="2D1A1E8A" w:rsidR="0073700D" w:rsidRDefault="0073700D" w:rsidP="0073700D">
      <w:pPr>
        <w:spacing w:after="0" w:line="360" w:lineRule="auto"/>
        <w:ind w:right="510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/>
          <w:sz w:val="24"/>
          <w:szCs w:val="24"/>
          <w:rtl/>
        </w:rPr>
        <w:t>השוני בין הזנה הטרוטרופית לבין הזנה אוטוטרופית</w:t>
      </w:r>
      <w:r>
        <w:rPr>
          <w:rFonts w:ascii="David" w:hAnsi="David" w:cs="David" w:hint="cs"/>
          <w:sz w:val="24"/>
          <w:szCs w:val="24"/>
          <w:rtl/>
        </w:rPr>
        <w:t xml:space="preserve"> (נמצא במילון מונחים</w:t>
      </w:r>
    </w:p>
    <w:p w14:paraId="2FF5C69C" w14:textId="77777777" w:rsidR="0073700D" w:rsidRPr="007960C2" w:rsidRDefault="0073700D" w:rsidP="0073700D">
      <w:pPr>
        <w:tabs>
          <w:tab w:val="num" w:pos="720"/>
        </w:tabs>
        <w:spacing w:after="0" w:line="360" w:lineRule="auto"/>
        <w:ind w:right="420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7960C2">
        <w:rPr>
          <w:rFonts w:ascii="David" w:hAnsi="David" w:cs="David"/>
          <w:b/>
          <w:bCs/>
          <w:color w:val="000000"/>
          <w:sz w:val="24"/>
          <w:szCs w:val="24"/>
          <w:rtl/>
        </w:rPr>
        <w:t>חשיבות תהליך העיכול</w:t>
      </w:r>
    </w:p>
    <w:p w14:paraId="02D11FAC" w14:textId="77777777" w:rsidR="0073700D" w:rsidRPr="007960C2" w:rsidRDefault="0073700D" w:rsidP="0073700D">
      <w:pPr>
        <w:spacing w:after="0" w:line="360" w:lineRule="auto"/>
        <w:ind w:right="510"/>
        <w:rPr>
          <w:rFonts w:ascii="David" w:hAnsi="David" w:cs="David"/>
          <w:sz w:val="24"/>
          <w:szCs w:val="24"/>
        </w:rPr>
      </w:pPr>
      <w:r w:rsidRPr="007960C2">
        <w:rPr>
          <w:rFonts w:ascii="David" w:hAnsi="David" w:cs="David"/>
          <w:sz w:val="24"/>
          <w:szCs w:val="24"/>
          <w:rtl/>
        </w:rPr>
        <w:t>פירוק המזון למולקולות קטנות שיכולות לעבור דרך קרומי התאים</w:t>
      </w:r>
    </w:p>
    <w:p w14:paraId="274290D9" w14:textId="31E45898" w:rsidR="00683D07" w:rsidRPr="007960C2" w:rsidRDefault="00683D07" w:rsidP="0073700D">
      <w:pPr>
        <w:tabs>
          <w:tab w:val="num" w:pos="720"/>
        </w:tabs>
        <w:spacing w:after="0" w:line="360" w:lineRule="auto"/>
        <w:ind w:right="420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/>
          <w:b/>
          <w:bCs/>
          <w:color w:val="000000"/>
          <w:sz w:val="24"/>
          <w:szCs w:val="24"/>
          <w:rtl/>
        </w:rPr>
        <w:t>מרכיבי מערכת העיכול באדם</w:t>
      </w:r>
      <w:r w:rsidR="0073700D">
        <w:rPr>
          <w:rFonts w:ascii="David" w:hAnsi="David" w:cs="David" w:hint="cs"/>
          <w:sz w:val="24"/>
          <w:szCs w:val="24"/>
          <w:rtl/>
        </w:rPr>
        <w:t xml:space="preserve"> </w:t>
      </w:r>
      <w:r w:rsidR="0073700D">
        <w:rPr>
          <w:rFonts w:ascii="David" w:hAnsi="David" w:cs="David"/>
          <w:sz w:val="24"/>
          <w:szCs w:val="24"/>
          <w:rtl/>
        </w:rPr>
        <w:t>–</w:t>
      </w:r>
      <w:r w:rsidR="0073700D">
        <w:rPr>
          <w:rFonts w:ascii="David" w:hAnsi="David" w:cs="David" w:hint="cs"/>
          <w:sz w:val="24"/>
          <w:szCs w:val="24"/>
          <w:rtl/>
        </w:rPr>
        <w:t xml:space="preserve"> מאפייני רכיבי </w:t>
      </w:r>
    </w:p>
    <w:p w14:paraId="3FBB9053" w14:textId="77777777" w:rsidR="00683D07" w:rsidRPr="007960C2" w:rsidRDefault="00683D07" w:rsidP="0073700D">
      <w:pPr>
        <w:spacing w:after="0" w:line="360" w:lineRule="auto"/>
        <w:ind w:right="510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/>
          <w:sz w:val="24"/>
          <w:szCs w:val="24"/>
          <w:rtl/>
        </w:rPr>
        <w:t>צינור העיכול: פה, ושט, קיבה, מעיים, פי הטבעת</w:t>
      </w:r>
    </w:p>
    <w:p w14:paraId="199CA289" w14:textId="26D17D45" w:rsidR="00683D07" w:rsidRPr="007960C2" w:rsidRDefault="00683D07" w:rsidP="0073700D">
      <w:pPr>
        <w:spacing w:after="0" w:line="360" w:lineRule="auto"/>
        <w:ind w:right="510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/>
          <w:sz w:val="24"/>
          <w:szCs w:val="24"/>
          <w:rtl/>
        </w:rPr>
        <w:t xml:space="preserve">בלוטות </w:t>
      </w:r>
      <w:r w:rsidR="0073700D">
        <w:rPr>
          <w:rFonts w:ascii="David" w:hAnsi="David" w:cs="David" w:hint="cs"/>
          <w:sz w:val="24"/>
          <w:szCs w:val="24"/>
          <w:rtl/>
        </w:rPr>
        <w:t>שמפרישות למערכת העיכול</w:t>
      </w:r>
      <w:r w:rsidRPr="007960C2">
        <w:rPr>
          <w:rFonts w:ascii="David" w:hAnsi="David" w:cs="David"/>
          <w:sz w:val="24"/>
          <w:szCs w:val="24"/>
          <w:rtl/>
        </w:rPr>
        <w:t>: בלוטות רוק, כבד, לבלב</w:t>
      </w:r>
    </w:p>
    <w:p w14:paraId="29142834" w14:textId="244915DF" w:rsidR="00683D07" w:rsidRPr="007960C2" w:rsidRDefault="00683D07" w:rsidP="0073700D">
      <w:pPr>
        <w:spacing w:after="0" w:line="360" w:lineRule="auto"/>
        <w:ind w:right="510"/>
        <w:rPr>
          <w:rFonts w:ascii="David" w:hAnsi="David" w:cs="David"/>
          <w:sz w:val="24"/>
          <w:szCs w:val="24"/>
        </w:rPr>
      </w:pPr>
      <w:r w:rsidRPr="007960C2">
        <w:rPr>
          <w:rFonts w:ascii="David" w:hAnsi="David" w:cs="David"/>
          <w:sz w:val="24"/>
          <w:szCs w:val="24"/>
          <w:rtl/>
        </w:rPr>
        <w:t xml:space="preserve">מיצי עיכול: </w:t>
      </w:r>
      <w:r w:rsidR="0073700D">
        <w:rPr>
          <w:rFonts w:ascii="David" w:hAnsi="David" w:cs="David" w:hint="cs"/>
          <w:sz w:val="24"/>
          <w:szCs w:val="24"/>
          <w:rtl/>
        </w:rPr>
        <w:t xml:space="preserve">מכילים </w:t>
      </w:r>
      <w:r w:rsidRPr="007960C2">
        <w:rPr>
          <w:rFonts w:ascii="David" w:hAnsi="David" w:cs="David"/>
          <w:sz w:val="24"/>
          <w:szCs w:val="24"/>
          <w:rtl/>
        </w:rPr>
        <w:t>אנזימים</w:t>
      </w:r>
      <w:r w:rsidR="0073700D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8E3F698" w14:textId="77777777" w:rsidR="00764AA3" w:rsidRPr="007960C2" w:rsidRDefault="00764AA3" w:rsidP="0073700D">
      <w:pPr>
        <w:spacing w:after="0" w:line="360" w:lineRule="auto"/>
        <w:ind w:left="535" w:right="510"/>
        <w:rPr>
          <w:rFonts w:ascii="David" w:hAnsi="David" w:cs="David"/>
          <w:sz w:val="24"/>
          <w:szCs w:val="24"/>
          <w:rtl/>
        </w:rPr>
      </w:pPr>
    </w:p>
    <w:p w14:paraId="670F5D43" w14:textId="77777777" w:rsidR="00541A9D" w:rsidRPr="007960C2" w:rsidRDefault="00541A9D" w:rsidP="0073700D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 w:hint="cs"/>
          <w:b/>
          <w:bCs/>
          <w:sz w:val="24"/>
          <w:szCs w:val="24"/>
          <w:rtl/>
        </w:rPr>
        <w:t xml:space="preserve">תפקיד מערכת העיכול </w:t>
      </w:r>
      <w:r w:rsidRPr="007960C2">
        <w:rPr>
          <w:rFonts w:ascii="David" w:hAnsi="David" w:cs="David"/>
          <w:b/>
          <w:bCs/>
          <w:sz w:val="24"/>
          <w:szCs w:val="24"/>
          <w:rtl/>
        </w:rPr>
        <w:t>–</w:t>
      </w:r>
      <w:r w:rsidRPr="007960C2">
        <w:rPr>
          <w:rFonts w:ascii="David" w:hAnsi="David" w:cs="David" w:hint="cs"/>
          <w:sz w:val="24"/>
          <w:szCs w:val="24"/>
          <w:rtl/>
        </w:rPr>
        <w:t xml:space="preserve">. </w:t>
      </w:r>
      <w:r w:rsidRPr="007960C2">
        <w:rPr>
          <w:rFonts w:ascii="David" w:hAnsi="David" w:cs="David"/>
          <w:sz w:val="24"/>
          <w:szCs w:val="24"/>
          <w:rtl/>
        </w:rPr>
        <w:t>קליטת המזון, הובלת מזון במערכת העיכול, עיכולו, וספיגתו לדם</w:t>
      </w:r>
    </w:p>
    <w:p w14:paraId="73730A91" w14:textId="77777777" w:rsidR="00FD1844" w:rsidRDefault="00FD1844" w:rsidP="0073700D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יש להכיר את המבנה והתפקיד של איברי מערכת העיכול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כלומר, </w:t>
      </w:r>
      <w:r w:rsidR="00541A9D" w:rsidRPr="007960C2">
        <w:rPr>
          <w:rFonts w:ascii="David" w:hAnsi="David" w:cs="David" w:hint="cs"/>
          <w:sz w:val="24"/>
          <w:szCs w:val="24"/>
          <w:rtl/>
        </w:rPr>
        <w:t xml:space="preserve">כל התחנות שעובר המזון במערכת העיכול :הפה ,הושט, קיבה, תרסריון, מעי דק מעי גס ופי הטבעת </w:t>
      </w:r>
    </w:p>
    <w:p w14:paraId="5379C2AF" w14:textId="3887B1C9" w:rsidR="00541A9D" w:rsidRPr="007960C2" w:rsidRDefault="00FD1844" w:rsidP="0073700D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יש לדעת </w:t>
      </w:r>
      <w:r w:rsidR="00541A9D" w:rsidRPr="007960C2">
        <w:rPr>
          <w:rFonts w:ascii="David" w:hAnsi="David" w:cs="David" w:hint="cs"/>
          <w:sz w:val="24"/>
          <w:szCs w:val="24"/>
          <w:rtl/>
        </w:rPr>
        <w:t xml:space="preserve">באלו תחנות עוברות אבות מזון פירוק  כימי ומכאני ,היכן נספג המזון והיכן נספגים בחזרה המים במערכת העיכול </w:t>
      </w:r>
    </w:p>
    <w:p w14:paraId="012E8A45" w14:textId="77777777" w:rsidR="00541A9D" w:rsidRPr="007960C2" w:rsidRDefault="00541A9D" w:rsidP="0073700D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 w:hint="cs"/>
          <w:sz w:val="24"/>
          <w:szCs w:val="24"/>
          <w:rtl/>
        </w:rPr>
        <w:t>הגדלת שטח פנים לנפח (חיתוך המזון לחתיכות קטנות, הסיסים והמוריגים במעי)</w:t>
      </w:r>
    </w:p>
    <w:p w14:paraId="1E5177B2" w14:textId="77777777" w:rsidR="00541A9D" w:rsidRPr="007960C2" w:rsidRDefault="00541A9D" w:rsidP="0073700D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 w:hint="cs"/>
          <w:b/>
          <w:bCs/>
          <w:sz w:val="24"/>
          <w:szCs w:val="24"/>
          <w:rtl/>
        </w:rPr>
        <w:t>פירוק כימי</w:t>
      </w:r>
      <w:r w:rsidRPr="007960C2">
        <w:rPr>
          <w:rFonts w:ascii="David" w:hAnsi="David" w:cs="David" w:hint="cs"/>
          <w:sz w:val="24"/>
          <w:szCs w:val="24"/>
          <w:rtl/>
        </w:rPr>
        <w:t xml:space="preserve"> </w:t>
      </w:r>
      <w:r w:rsidRPr="007960C2">
        <w:rPr>
          <w:rFonts w:ascii="David" w:hAnsi="David" w:cs="David"/>
          <w:sz w:val="24"/>
          <w:szCs w:val="24"/>
          <w:rtl/>
        </w:rPr>
        <w:t>–</w:t>
      </w:r>
      <w:r w:rsidRPr="007960C2">
        <w:rPr>
          <w:rFonts w:ascii="David" w:hAnsi="David" w:cs="David" w:hint="cs"/>
          <w:sz w:val="24"/>
          <w:szCs w:val="24"/>
          <w:rtl/>
        </w:rPr>
        <w:t xml:space="preserve"> פירוק רכיבי המזון למולקולות קטנות (אבני הבניין) על ידי אנזימי עיכול</w:t>
      </w:r>
    </w:p>
    <w:p w14:paraId="3669B1C5" w14:textId="77777777" w:rsidR="00541A9D" w:rsidRPr="007960C2" w:rsidRDefault="00541A9D" w:rsidP="0073700D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 w:hint="cs"/>
          <w:b/>
          <w:bCs/>
          <w:sz w:val="24"/>
          <w:szCs w:val="24"/>
          <w:rtl/>
        </w:rPr>
        <w:t>פירוק מכאני</w:t>
      </w:r>
      <w:r w:rsidRPr="007960C2">
        <w:rPr>
          <w:rFonts w:ascii="David" w:hAnsi="David" w:cs="David" w:hint="cs"/>
          <w:sz w:val="24"/>
          <w:szCs w:val="24"/>
          <w:rtl/>
        </w:rPr>
        <w:t xml:space="preserve"> </w:t>
      </w:r>
      <w:r w:rsidRPr="007960C2">
        <w:rPr>
          <w:rFonts w:ascii="David" w:hAnsi="David" w:cs="David"/>
          <w:sz w:val="24"/>
          <w:szCs w:val="24"/>
          <w:rtl/>
        </w:rPr>
        <w:t>–</w:t>
      </w:r>
      <w:r w:rsidRPr="007960C2">
        <w:rPr>
          <w:rFonts w:ascii="David" w:hAnsi="David" w:cs="David" w:hint="cs"/>
          <w:sz w:val="24"/>
          <w:szCs w:val="24"/>
          <w:rtl/>
        </w:rPr>
        <w:t xml:space="preserve"> פירוק לחתיכות קטנות, לצורך הגדלת שטח פנים </w:t>
      </w:r>
      <w:r w:rsidRPr="007960C2">
        <w:rPr>
          <w:rFonts w:ascii="David" w:hAnsi="David" w:cs="David"/>
          <w:sz w:val="24"/>
          <w:szCs w:val="24"/>
          <w:rtl/>
        </w:rPr>
        <w:t>–</w:t>
      </w:r>
      <w:r w:rsidRPr="007960C2">
        <w:rPr>
          <w:rFonts w:ascii="David" w:hAnsi="David" w:cs="David" w:hint="cs"/>
          <w:sz w:val="24"/>
          <w:szCs w:val="24"/>
          <w:rtl/>
        </w:rPr>
        <w:t xml:space="preserve"> המאפשר פירוק יעיל יותר על ידי אנזימי עיכול (הפועלים בשטח הפנים)</w:t>
      </w:r>
    </w:p>
    <w:p w14:paraId="1135DB1F" w14:textId="77777777" w:rsidR="00541A9D" w:rsidRPr="007960C2" w:rsidRDefault="00541A9D" w:rsidP="0073700D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 w:hint="cs"/>
          <w:b/>
          <w:bCs/>
          <w:sz w:val="24"/>
          <w:szCs w:val="24"/>
          <w:rtl/>
        </w:rPr>
        <w:t>התאמה של מבנה לתפקיד של אברי מערכת</w:t>
      </w:r>
      <w:r w:rsidRPr="007960C2">
        <w:rPr>
          <w:rFonts w:ascii="David" w:hAnsi="David" w:cs="David" w:hint="cs"/>
          <w:sz w:val="24"/>
          <w:szCs w:val="24"/>
          <w:rtl/>
        </w:rPr>
        <w:t xml:space="preserve"> העיכול (הפה, הושת, הקיבה, המעי הדק ,המעי הגס ופי הטבעת). </w:t>
      </w:r>
      <w:r w:rsidRPr="007960C2">
        <w:rPr>
          <w:rFonts w:ascii="David" w:hAnsi="David" w:cs="David" w:hint="cs"/>
          <w:b/>
          <w:bCs/>
          <w:sz w:val="24"/>
          <w:szCs w:val="24"/>
          <w:rtl/>
        </w:rPr>
        <w:t>לדוגמה</w:t>
      </w:r>
      <w:r w:rsidRPr="007960C2">
        <w:rPr>
          <w:rFonts w:ascii="David" w:hAnsi="David" w:cs="David" w:hint="cs"/>
          <w:sz w:val="24"/>
          <w:szCs w:val="24"/>
          <w:rtl/>
        </w:rPr>
        <w:t>:</w:t>
      </w:r>
    </w:p>
    <w:p w14:paraId="5A24008A" w14:textId="77777777" w:rsidR="00541A9D" w:rsidRPr="007960C2" w:rsidRDefault="00541A9D" w:rsidP="0073700D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 w:hint="cs"/>
          <w:sz w:val="24"/>
          <w:szCs w:val="24"/>
          <w:rtl/>
        </w:rPr>
        <w:t xml:space="preserve">קיבה: </w:t>
      </w:r>
      <w:r w:rsidRPr="007960C2">
        <w:rPr>
          <w:rFonts w:ascii="David" w:hAnsi="David" w:cs="David"/>
          <w:sz w:val="24"/>
          <w:szCs w:val="24"/>
          <w:rtl/>
        </w:rPr>
        <w:t>התאמה בין מבנה הקיבה לתפקודה בעיכול המזון (דופן עבה ושרירית, תאים מפרשי חומצה ואנזימים</w:t>
      </w:r>
      <w:r w:rsidRPr="007960C2">
        <w:rPr>
          <w:rFonts w:ascii="David" w:hAnsi="David" w:cs="David" w:hint="cs"/>
          <w:sz w:val="24"/>
          <w:szCs w:val="24"/>
          <w:rtl/>
        </w:rPr>
        <w:t xml:space="preserve"> מפרקי חלבון)</w:t>
      </w:r>
    </w:p>
    <w:p w14:paraId="32358487" w14:textId="77777777" w:rsidR="00541A9D" w:rsidRPr="007960C2" w:rsidRDefault="00541A9D" w:rsidP="0073700D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/>
          <w:sz w:val="24"/>
          <w:szCs w:val="24"/>
          <w:rtl/>
        </w:rPr>
        <w:t>התאמה בין מבנה המעיים לתפקודם בעיכול בספיגת מזון ובהעברתו למערכת הדם (בלוטות מפרישות מיצי עיכול, מעי ארוך, שטח פנים גדול, דפנות עשירות בכלי דם</w:t>
      </w:r>
      <w:r w:rsidRPr="007960C2">
        <w:rPr>
          <w:rFonts w:ascii="David" w:hAnsi="David" w:cs="David" w:hint="cs"/>
          <w:sz w:val="24"/>
          <w:szCs w:val="24"/>
          <w:rtl/>
        </w:rPr>
        <w:t>)</w:t>
      </w:r>
    </w:p>
    <w:p w14:paraId="015262AB" w14:textId="55727721" w:rsidR="00683D07" w:rsidRPr="007960C2" w:rsidRDefault="00683D07" w:rsidP="0073700D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3510136" w14:textId="22D8D512" w:rsidR="007960C2" w:rsidRDefault="007960C2" w:rsidP="0073700D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372CAD5" w14:textId="15DC4F88" w:rsidR="0073700D" w:rsidRDefault="0073700D" w:rsidP="0073700D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FE3DB83" w14:textId="48BC3513" w:rsidR="0073700D" w:rsidRDefault="0073700D" w:rsidP="0073700D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74CF78F" w14:textId="77777777" w:rsidR="00FD1844" w:rsidRPr="007960C2" w:rsidRDefault="00FD1844" w:rsidP="0073700D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0086787" w14:textId="77777777" w:rsidR="007960C2" w:rsidRPr="007960C2" w:rsidRDefault="007960C2" w:rsidP="0073700D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05CFA32" w14:textId="78DC9120" w:rsidR="005745A3" w:rsidRPr="0086777D" w:rsidRDefault="005745A3" w:rsidP="0073700D">
      <w:pPr>
        <w:spacing w:line="360" w:lineRule="auto"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86777D">
        <w:rPr>
          <w:rFonts w:ascii="David" w:eastAsia="Calibri" w:hAnsi="David" w:cs="David"/>
          <w:b/>
          <w:bCs/>
          <w:sz w:val="28"/>
          <w:szCs w:val="28"/>
          <w:u w:val="single"/>
          <w:rtl/>
        </w:rPr>
        <w:lastRenderedPageBreak/>
        <w:t>מיומנויות חקר</w:t>
      </w:r>
    </w:p>
    <w:p w14:paraId="7EAFDDF7" w14:textId="77777777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rPr>
          <w:rFonts w:ascii="David" w:hAnsi="David" w:cs="David"/>
        </w:rPr>
      </w:pPr>
      <w:r w:rsidRPr="007960C2">
        <w:rPr>
          <w:rFonts w:ascii="David" w:hAnsi="David" w:cs="David" w:hint="cs"/>
          <w:b/>
          <w:bCs/>
          <w:rtl/>
        </w:rPr>
        <w:t>מיומנויות חקר</w:t>
      </w:r>
      <w:r w:rsidRPr="007960C2">
        <w:rPr>
          <w:rFonts w:ascii="David" w:hAnsi="David" w:cs="David" w:hint="cs"/>
          <w:rtl/>
        </w:rPr>
        <w:t xml:space="preserve"> – השערה, שאלת חקר: גורם משפיע, גורם מושפע, גורמים קבועים, בקרה, חזרות, תוצאות בטבלה , בגרף ובאופן מילולי</w:t>
      </w:r>
    </w:p>
    <w:p w14:paraId="40B87010" w14:textId="4F84F6C3" w:rsidR="00F31408" w:rsidRPr="007960C2" w:rsidRDefault="00F31408" w:rsidP="0073700D">
      <w:pPr>
        <w:spacing w:line="360" w:lineRule="auto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7960C2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>פירוט המושגים:</w:t>
      </w:r>
    </w:p>
    <w:p w14:paraId="59F71685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b/>
          <w:bCs/>
          <w:color w:val="FF0000"/>
          <w:sz w:val="24"/>
          <w:szCs w:val="24"/>
          <w:u w:val="single"/>
          <w:rtl/>
        </w:rPr>
        <w:t>שאלת החקר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– שאלת החקר נפתחת תמיד במילת שאלה. השאלה בודקת את הקשר בין שני משתנים. נהוג לנסח את שאלת החקר כך: מהו הקשר בין המשתנה הבלתי תלוי למשתנה התלוי.</w:t>
      </w:r>
    </w:p>
    <w:p w14:paraId="7727DBA8" w14:textId="77777777" w:rsidR="005745A3" w:rsidRPr="007960C2" w:rsidRDefault="005745A3" w:rsidP="0073700D">
      <w:pPr>
        <w:spacing w:line="360" w:lineRule="auto"/>
        <w:ind w:left="386" w:hanging="360"/>
        <w:rPr>
          <w:rFonts w:ascii="David" w:eastAsia="Calibri" w:hAnsi="David" w:cs="David"/>
          <w:b/>
          <w:bCs/>
          <w:sz w:val="24"/>
          <w:szCs w:val="24"/>
          <w:rtl/>
        </w:rPr>
      </w:pPr>
      <w:r w:rsidRPr="007960C2">
        <w:rPr>
          <w:rFonts w:ascii="David" w:eastAsia="Calibri" w:hAnsi="David" w:cs="David"/>
          <w:b/>
          <w:bCs/>
          <w:sz w:val="24"/>
          <w:szCs w:val="24"/>
          <w:rtl/>
        </w:rPr>
        <w:t>שאלת מחקר שואלת מה הקשר בין משתנה בלתי תלוי לתלוי</w:t>
      </w:r>
    </w:p>
    <w:p w14:paraId="4F22B916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b/>
          <w:bCs/>
          <w:color w:val="FF0000"/>
          <w:sz w:val="24"/>
          <w:szCs w:val="24"/>
          <w:u w:val="single"/>
          <w:rtl/>
        </w:rPr>
        <w:t xml:space="preserve">השערה </w:t>
      </w:r>
      <w:r w:rsidRPr="007960C2">
        <w:rPr>
          <w:rFonts w:ascii="David" w:eastAsia="Calibri" w:hAnsi="David" w:cs="David"/>
          <w:color w:val="FF0000"/>
          <w:sz w:val="24"/>
          <w:szCs w:val="24"/>
          <w:u w:val="single"/>
          <w:rtl/>
        </w:rPr>
        <w:t>–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ההשערה מציגה את הקשר בין המשתנים. ההשערה צריכה להיות מבוססת על ידע ביולוגי קודם. נהוג לנסח השערה במשפט חיובי וקצר. </w:t>
      </w:r>
    </w:p>
    <w:p w14:paraId="022360FB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sz w:val="24"/>
          <w:szCs w:val="24"/>
          <w:rtl/>
        </w:rPr>
        <w:t>השערת מחקר אומרת מה אתם מצפים שיהיה הקשר בין המשתנה הבלתי תלוי לתלוי.</w:t>
      </w:r>
    </w:p>
    <w:p w14:paraId="224C2473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sz w:val="24"/>
          <w:szCs w:val="24"/>
          <w:rtl/>
        </w:rPr>
        <w:t>לדוגמה: ככל שהטמפ' תעלה ... קצב הנשימה יעלה, עד טמפ' מסוימת שבה יישאר קבוע או יתחיל לרדת (לחשוב)השערה זה משפט עם נקודה בסופו.</w:t>
      </w:r>
    </w:p>
    <w:p w14:paraId="67D53163" w14:textId="379F550A" w:rsidR="005745A3" w:rsidRPr="007960C2" w:rsidRDefault="005745A3" w:rsidP="0073700D">
      <w:pPr>
        <w:numPr>
          <w:ilvl w:val="3"/>
          <w:numId w:val="11"/>
        </w:numPr>
        <w:spacing w:after="0" w:line="360" w:lineRule="auto"/>
        <w:ind w:left="180" w:hanging="180"/>
        <w:rPr>
          <w:rFonts w:ascii="David" w:eastAsia="Calibri" w:hAnsi="David" w:cs="David"/>
          <w:sz w:val="24"/>
          <w:szCs w:val="24"/>
        </w:rPr>
      </w:pPr>
      <w:r w:rsidRPr="007960C2">
        <w:rPr>
          <w:rFonts w:ascii="David" w:eastAsia="Calibri" w:hAnsi="David" w:cs="David"/>
          <w:b/>
          <w:bCs/>
          <w:color w:val="C00000"/>
          <w:sz w:val="24"/>
          <w:szCs w:val="24"/>
          <w:rtl/>
        </w:rPr>
        <w:t>הגורם המושפע בניסוי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, הגורם הנבדק, מבצע הניסוי עוקב במהלך הניסוי אחרי שינוי בגורם זה ( אלו הם התוצאות).    </w:t>
      </w:r>
      <w:r w:rsidRPr="007960C2">
        <w:rPr>
          <w:rFonts w:ascii="David" w:eastAsia="Calibri" w:hAnsi="David" w:cs="David"/>
          <w:b/>
          <w:bCs/>
          <w:color w:val="000080"/>
          <w:sz w:val="24"/>
          <w:szCs w:val="24"/>
          <w:rtl/>
        </w:rPr>
        <w:t>השינוי שלו תלוי במשתנה הבלתי תלוי וניתן למדידה</w:t>
      </w:r>
    </w:p>
    <w:p w14:paraId="78D49E25" w14:textId="768E3E24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sz w:val="24"/>
          <w:szCs w:val="24"/>
          <w:rtl/>
        </w:rPr>
        <w:t>.</w:t>
      </w:r>
    </w:p>
    <w:p w14:paraId="0FC3E2F6" w14:textId="5587C9C4" w:rsidR="005745A3" w:rsidRPr="007960C2" w:rsidRDefault="005745A3" w:rsidP="0073700D">
      <w:pPr>
        <w:numPr>
          <w:ilvl w:val="3"/>
          <w:numId w:val="11"/>
        </w:numPr>
        <w:spacing w:after="0" w:line="360" w:lineRule="auto"/>
        <w:ind w:left="180" w:hanging="180"/>
        <w:rPr>
          <w:rFonts w:ascii="David" w:eastAsia="Calibri" w:hAnsi="David" w:cs="David"/>
          <w:sz w:val="24"/>
          <w:szCs w:val="24"/>
        </w:rPr>
      </w:pPr>
      <w:r w:rsidRPr="007960C2">
        <w:rPr>
          <w:rFonts w:ascii="David" w:eastAsia="Calibri" w:hAnsi="David" w:cs="David"/>
          <w:b/>
          <w:bCs/>
          <w:color w:val="C00000"/>
          <w:sz w:val="24"/>
          <w:szCs w:val="24"/>
          <w:u w:val="dotted"/>
          <w:rtl/>
        </w:rPr>
        <w:t>הגורם המשפיע</w:t>
      </w:r>
      <w:r w:rsidRPr="007960C2">
        <w:rPr>
          <w:rFonts w:ascii="David" w:eastAsia="Calibri" w:hAnsi="David" w:cs="David"/>
          <w:color w:val="C00000"/>
          <w:sz w:val="24"/>
          <w:szCs w:val="24"/>
          <w:rtl/>
        </w:rPr>
        <w:t xml:space="preserve"> </w:t>
      </w:r>
      <w:r w:rsidRPr="007960C2">
        <w:rPr>
          <w:rFonts w:ascii="David" w:eastAsia="Calibri" w:hAnsi="David" w:cs="David"/>
          <w:sz w:val="24"/>
          <w:szCs w:val="24"/>
          <w:rtl/>
        </w:rPr>
        <w:t>על המשתנה התלוי – זהו גם</w:t>
      </w:r>
      <w:r w:rsidRPr="007960C2"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  <w:r w:rsidRPr="007960C2">
        <w:rPr>
          <w:rFonts w:ascii="David" w:eastAsia="Calibri" w:hAnsi="David" w:cs="David"/>
          <w:b/>
          <w:bCs/>
          <w:sz w:val="24"/>
          <w:szCs w:val="24"/>
          <w:u w:val="dotted"/>
          <w:rtl/>
        </w:rPr>
        <w:t>הגורם הנבדק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. המשתנה הבלתי תלוי , תלוי בי (מבצע הניסוי). אני קובע אותו ואני יכול לשנות אותו. </w:t>
      </w:r>
      <w:r w:rsidRPr="007960C2">
        <w:rPr>
          <w:rFonts w:ascii="David" w:eastAsia="Calibri" w:hAnsi="David" w:cs="David"/>
          <w:b/>
          <w:bCs/>
          <w:color w:val="000080"/>
          <w:sz w:val="24"/>
          <w:szCs w:val="24"/>
          <w:rtl/>
        </w:rPr>
        <w:t>זהו המשתנה ששינויו נקבע על-ידי החוקר או עורך הניסוי, ואינו תלוי במתרחש בניסוי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</w:t>
      </w:r>
    </w:p>
    <w:p w14:paraId="68E6B209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color w:val="FF0000"/>
          <w:sz w:val="24"/>
          <w:szCs w:val="24"/>
          <w:rtl/>
        </w:rPr>
        <w:t xml:space="preserve">   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שינוי המשתנה הבלתי תלוי – ניתן להכין טווח בדיקה בו נשנה את המשתנה הבלתי תלוי.  </w:t>
      </w:r>
    </w:p>
    <w:p w14:paraId="7548E5B9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color w:val="0000FF"/>
          <w:sz w:val="24"/>
          <w:szCs w:val="24"/>
          <w:rtl/>
        </w:rPr>
        <w:t>לדוגמא: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בניסוי לבדיקת השפעת ריכוז הכלור על מספר החיידקים במי בריכת השחייה </w:t>
      </w:r>
      <w:r w:rsidRPr="007960C2">
        <w:rPr>
          <w:rFonts w:ascii="David" w:eastAsia="Calibri" w:hAnsi="David" w:cs="David"/>
          <w:sz w:val="24"/>
          <w:szCs w:val="24"/>
        </w:rPr>
        <w:t>–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המשתנה הבלתי תלוי (המשפיע) יהיה ריכוז הכלור והמשתנה התלוי (המושפע) יהיה מספר החיידקים במים</w:t>
      </w:r>
    </w:p>
    <w:p w14:paraId="08A1DDFA" w14:textId="77777777" w:rsidR="005745A3" w:rsidRPr="007960C2" w:rsidRDefault="005745A3" w:rsidP="0073700D">
      <w:pPr>
        <w:spacing w:after="0"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color w:val="FF0000"/>
          <w:sz w:val="24"/>
          <w:szCs w:val="24"/>
          <w:u w:val="single"/>
          <w:rtl/>
        </w:rPr>
        <w:t>גורמים קבועים</w:t>
      </w:r>
      <w:r w:rsidRPr="007960C2">
        <w:rPr>
          <w:rFonts w:ascii="David" w:eastAsia="Calibri" w:hAnsi="David" w:cs="David"/>
          <w:color w:val="FF0000"/>
          <w:sz w:val="24"/>
          <w:szCs w:val="24"/>
          <w:rtl/>
        </w:rPr>
        <w:t xml:space="preserve"> 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– כל הגורמים העלולים או יכולים להשפיע על המשתנה התלוי  חייבים להשאיר קבועים. לכן בתכנון יש לחשוב אלו גורמים עשויים להשפיע על המשתנה התלוי ואותם להשאיר קבועים למעט גורם אחד שאותו משנים – הוא הגורם הנבדק. </w:t>
      </w:r>
      <w:r w:rsidRPr="007960C2">
        <w:rPr>
          <w:rFonts w:ascii="David" w:eastAsia="Calibri" w:hAnsi="David" w:cs="David"/>
          <w:b/>
          <w:bCs/>
          <w:sz w:val="24"/>
          <w:szCs w:val="24"/>
          <w:rtl/>
        </w:rPr>
        <w:t xml:space="preserve">הגורמים קבועים </w:t>
      </w:r>
      <w:r w:rsidRPr="007960C2">
        <w:rPr>
          <w:rFonts w:ascii="David" w:eastAsia="Calibri" w:hAnsi="David" w:cs="David"/>
          <w:sz w:val="24"/>
          <w:szCs w:val="24"/>
        </w:rPr>
        <w:t>–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נשארים קבועים לאורך כל הניסוי, התצפית, או הסקר בכל הטיפולים וגם בחזרות.</w:t>
      </w:r>
    </w:p>
    <w:p w14:paraId="44CD655C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sz w:val="24"/>
          <w:szCs w:val="24"/>
          <w:rtl/>
        </w:rPr>
        <w:t>חשיבות שמירת כל הגורמים קבועים היא שבסוף הניסוי נוכל ליחס את התוצאות למשתנה הבלתי תלוי בלבד – לגורם היחיד שאותו בדקנו ושינינו. אם יש מספר גורמים שישפיעו על המשתנה התלוי לא נוכל לקבוע בסוף הניסוי מהו מכל הגורמים הוא שגרם לתוצאה.</w:t>
      </w:r>
      <w:r w:rsidRPr="007960C2">
        <w:rPr>
          <w:rFonts w:ascii="David" w:eastAsia="Calibri" w:hAnsi="David" w:cs="David"/>
          <w:sz w:val="24"/>
          <w:szCs w:val="24"/>
          <w:rtl/>
        </w:rPr>
        <w:br/>
      </w:r>
    </w:p>
    <w:p w14:paraId="16B65457" w14:textId="77777777" w:rsidR="005745A3" w:rsidRPr="007960C2" w:rsidRDefault="005745A3" w:rsidP="0073700D">
      <w:pPr>
        <w:spacing w:after="0" w:line="360" w:lineRule="auto"/>
        <w:ind w:left="26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7960C2">
        <w:rPr>
          <w:rFonts w:ascii="David" w:eastAsia="Times New Roman" w:hAnsi="David" w:cs="David"/>
          <w:b/>
          <w:bCs/>
          <w:color w:val="FF0000"/>
          <w:sz w:val="24"/>
          <w:szCs w:val="24"/>
          <w:u w:val="single"/>
          <w:rtl/>
        </w:rPr>
        <w:lastRenderedPageBreak/>
        <w:t>בקרה</w:t>
      </w:r>
      <w:r w:rsidRPr="007960C2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 –</w:t>
      </w:r>
      <w:r w:rsidRPr="007960C2">
        <w:rPr>
          <w:rFonts w:ascii="David" w:eastAsia="Times New Roman" w:hAnsi="David" w:cs="David"/>
          <w:sz w:val="24"/>
          <w:szCs w:val="24"/>
          <w:rtl/>
        </w:rPr>
        <w:t xml:space="preserve"> הבקרה משמשת להשוואה ולבדיקה שאמנם כל גורם בניסוי משפיע באופן שהחוקר חושב . בעזרת הבקרה  מבצע הניסוי מוודא כי התהליך הנמדד בניסוי אכן מושפע מהמשתנה הבלתי תלוי. ובמידה ויש גורמים נוספים בניסוי אפשר ורצוי  לבדוק גם אותם</w:t>
      </w:r>
      <w:r w:rsidRPr="007960C2">
        <w:rPr>
          <w:rFonts w:ascii="David" w:eastAsia="Times New Roman" w:hAnsi="David" w:cs="David"/>
          <w:color w:val="E36C0A"/>
          <w:sz w:val="24"/>
          <w:szCs w:val="24"/>
          <w:rtl/>
        </w:rPr>
        <w:t xml:space="preserve"> .</w:t>
      </w:r>
    </w:p>
    <w:p w14:paraId="6BCE3FE1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</w:rPr>
      </w:pPr>
      <w:r w:rsidRPr="007960C2">
        <w:rPr>
          <w:rFonts w:ascii="David" w:eastAsia="Calibri" w:hAnsi="David" w:cs="David"/>
          <w:sz w:val="24"/>
          <w:szCs w:val="24"/>
          <w:rtl/>
        </w:rPr>
        <w:t>1. בקרה ללא הגורם המשפיע – הבקרה היא בדרך כלל טיפול הזהה לשאר הטיפולים בניסוי אך הושמט בו המשתנה הבלתי תלוי.</w:t>
      </w:r>
    </w:p>
    <w:p w14:paraId="6275965E" w14:textId="77777777" w:rsidR="005745A3" w:rsidRPr="007960C2" w:rsidRDefault="005745A3" w:rsidP="0073700D">
      <w:pPr>
        <w:spacing w:line="360" w:lineRule="auto"/>
        <w:ind w:left="386" w:hanging="360"/>
        <w:rPr>
          <w:rFonts w:ascii="David" w:eastAsia="Calibri" w:hAnsi="David" w:cs="David"/>
          <w:b/>
          <w:bCs/>
          <w:noProof/>
          <w:color w:val="FF6600"/>
          <w:sz w:val="24"/>
          <w:szCs w:val="24"/>
          <w:rtl/>
        </w:rPr>
      </w:pPr>
    </w:p>
    <w:p w14:paraId="54168943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b/>
          <w:bCs/>
          <w:color w:val="FF0000"/>
          <w:sz w:val="24"/>
          <w:szCs w:val="24"/>
          <w:u w:val="single"/>
          <w:rtl/>
        </w:rPr>
        <w:t>חזרות</w:t>
      </w:r>
      <w:r w:rsidRPr="007960C2">
        <w:rPr>
          <w:rFonts w:ascii="David" w:eastAsia="Calibri" w:hAnsi="David" w:cs="David"/>
          <w:color w:val="FF0000"/>
          <w:sz w:val="24"/>
          <w:szCs w:val="24"/>
          <w:rtl/>
        </w:rPr>
        <w:t xml:space="preserve"> –</w:t>
      </w:r>
      <w:r w:rsidRPr="007960C2">
        <w:rPr>
          <w:rFonts w:ascii="David" w:eastAsia="Calibri" w:hAnsi="David" w:cs="David"/>
          <w:b/>
          <w:bCs/>
          <w:color w:val="000080"/>
          <w:sz w:val="24"/>
          <w:szCs w:val="24"/>
          <w:rtl/>
        </w:rPr>
        <w:t xml:space="preserve"> מטרתן: הקטנת השגיאה והגדלת הדיוק</w:t>
      </w:r>
      <w:r w:rsidRPr="007960C2">
        <w:rPr>
          <w:rFonts w:ascii="David" w:eastAsia="Calibri" w:hAnsi="David" w:cs="David"/>
          <w:b/>
          <w:bCs/>
          <w:color w:val="000080"/>
          <w:sz w:val="24"/>
          <w:szCs w:val="24"/>
        </w:rPr>
        <w:t xml:space="preserve">. </w:t>
      </w:r>
      <w:r w:rsidRPr="007960C2">
        <w:rPr>
          <w:rFonts w:ascii="David" w:eastAsia="Calibri" w:hAnsi="David" w:cs="David"/>
          <w:sz w:val="24"/>
          <w:szCs w:val="24"/>
          <w:rtl/>
        </w:rPr>
        <w:t>כדי להבטיח שהתוצאות שקיבלנו אינן אקראיות ולא מקריות . ככל שהניסוי מבוצע פעמים רבות יותר, מהימנות התוצאות גדולה יותר.</w:t>
      </w:r>
    </w:p>
    <w:p w14:paraId="7F9CA581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sz w:val="24"/>
          <w:szCs w:val="24"/>
          <w:rtl/>
        </w:rPr>
        <w:t xml:space="preserve">חזרות מאפשרות חישוב ערכים של ממוצעים של תוצאות המדידה  של המשתנה התלוי. </w:t>
      </w:r>
      <w:r w:rsidRPr="007960C2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התוצאה הממוצעת היא התוצאה הקרובה ביותר לתוצאה הנכונה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</w:t>
      </w:r>
    </w:p>
    <w:p w14:paraId="378641B8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sz w:val="24"/>
          <w:szCs w:val="24"/>
          <w:rtl/>
        </w:rPr>
        <w:t>תיאור התוצאות – תיאור ההשתנות של הגורמים הנבדקים לאורך זמן הניסוי וכן השוואה בין הטיפולים השונים. תיאור התוצאות מסתמך על התוצאות הנמדדות בניסוי.</w:t>
      </w:r>
    </w:p>
    <w:p w14:paraId="3494136D" w14:textId="4B5B088B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 w:hint="cs"/>
          <w:b/>
          <w:bCs/>
          <w:color w:val="C00000"/>
          <w:sz w:val="24"/>
          <w:szCs w:val="24"/>
          <w:rtl/>
        </w:rPr>
        <w:t>קריאת גרפים</w:t>
      </w:r>
      <w:r w:rsidRPr="007960C2">
        <w:rPr>
          <w:rFonts w:ascii="David" w:eastAsia="Calibri" w:hAnsi="David" w:cs="David"/>
          <w:color w:val="C00000"/>
          <w:sz w:val="24"/>
          <w:szCs w:val="24"/>
          <w:rtl/>
        </w:rPr>
        <w:t xml:space="preserve"> 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– </w:t>
      </w:r>
      <w:r w:rsidRPr="007960C2">
        <w:rPr>
          <w:rFonts w:ascii="David" w:eastAsia="Calibri" w:hAnsi="David" w:cs="David"/>
          <w:sz w:val="24"/>
          <w:szCs w:val="24"/>
          <w:u w:val="single"/>
          <w:rtl/>
        </w:rPr>
        <w:t>ההצגה הגראפית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מציגה את </w:t>
      </w:r>
      <w:r w:rsidRPr="007960C2">
        <w:rPr>
          <w:rFonts w:ascii="David" w:eastAsia="Calibri" w:hAnsi="David" w:cs="David"/>
          <w:b/>
          <w:bCs/>
          <w:sz w:val="24"/>
          <w:szCs w:val="24"/>
          <w:rtl/>
        </w:rPr>
        <w:t xml:space="preserve">אופן השתנות </w:t>
      </w:r>
      <w:r w:rsidRPr="007960C2">
        <w:rPr>
          <w:rFonts w:ascii="David" w:eastAsia="Calibri" w:hAnsi="David" w:cs="David" w:hint="cs"/>
          <w:b/>
          <w:bCs/>
          <w:sz w:val="24"/>
          <w:szCs w:val="24"/>
          <w:rtl/>
        </w:rPr>
        <w:t>הגורם המושפע</w:t>
      </w:r>
      <w:r w:rsidRPr="007960C2">
        <w:rPr>
          <w:rFonts w:ascii="David" w:eastAsia="Calibri" w:hAnsi="David" w:cs="David"/>
          <w:b/>
          <w:bCs/>
          <w:sz w:val="24"/>
          <w:szCs w:val="24"/>
          <w:rtl/>
        </w:rPr>
        <w:t xml:space="preserve"> במהלך הניסוי בהתאם לשינוי המשתנה </w:t>
      </w:r>
      <w:r w:rsidRPr="007960C2">
        <w:rPr>
          <w:rFonts w:ascii="David" w:eastAsia="Calibri" w:hAnsi="David" w:cs="David" w:hint="cs"/>
          <w:b/>
          <w:bCs/>
          <w:sz w:val="24"/>
          <w:szCs w:val="24"/>
          <w:rtl/>
        </w:rPr>
        <w:t>המשפיע</w:t>
      </w:r>
    </w:p>
    <w:p w14:paraId="2FB9FF6F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sz w:val="24"/>
          <w:szCs w:val="24"/>
          <w:rtl/>
        </w:rPr>
        <w:t xml:space="preserve">לגרף תהיה </w:t>
      </w:r>
      <w:r w:rsidRPr="007960C2">
        <w:rPr>
          <w:rFonts w:ascii="David" w:eastAsia="Calibri" w:hAnsi="David" w:cs="David"/>
          <w:b/>
          <w:bCs/>
          <w:sz w:val="24"/>
          <w:szCs w:val="24"/>
          <w:u w:val="dotted"/>
          <w:rtl/>
        </w:rPr>
        <w:t>כותרת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המתארת את הקשר בין המשתנים.</w:t>
      </w:r>
    </w:p>
    <w:p w14:paraId="0D892011" w14:textId="64FBA36B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sz w:val="24"/>
          <w:szCs w:val="24"/>
          <w:rtl/>
        </w:rPr>
        <w:t xml:space="preserve">ציר </w:t>
      </w:r>
      <w:r w:rsidRPr="007960C2">
        <w:rPr>
          <w:rFonts w:ascii="David" w:eastAsia="Calibri" w:hAnsi="David" w:cs="David"/>
          <w:sz w:val="24"/>
          <w:szCs w:val="24"/>
        </w:rPr>
        <w:t>X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– הציר האופקי –  בו יירשם שם ה</w:t>
      </w:r>
      <w:r w:rsidRPr="007960C2">
        <w:rPr>
          <w:rFonts w:ascii="David" w:eastAsia="Calibri" w:hAnsi="David" w:cs="David" w:hint="cs"/>
          <w:sz w:val="24"/>
          <w:szCs w:val="24"/>
          <w:rtl/>
        </w:rPr>
        <w:t>גורם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המשפיע</w:t>
      </w:r>
      <w:r w:rsidRPr="007960C2">
        <w:rPr>
          <w:rFonts w:ascii="David" w:eastAsia="Calibri" w:hAnsi="David" w:cs="David" w:hint="cs"/>
          <w:sz w:val="24"/>
          <w:szCs w:val="24"/>
          <w:rtl/>
        </w:rPr>
        <w:t xml:space="preserve"> - 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הגורם שאת השפעתו אנו בודקים.  שימו לב לקנה מידה אחיד לאותו ציר . לכל ציר יכול להיות קנה מידה שונה. </w:t>
      </w:r>
    </w:p>
    <w:p w14:paraId="609FDE60" w14:textId="3D627CAE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sz w:val="24"/>
          <w:szCs w:val="24"/>
          <w:rtl/>
        </w:rPr>
        <w:t xml:space="preserve">ציר </w:t>
      </w:r>
      <w:r w:rsidRPr="007960C2">
        <w:rPr>
          <w:rFonts w:ascii="David" w:eastAsia="Calibri" w:hAnsi="David" w:cs="David"/>
          <w:sz w:val="24"/>
          <w:szCs w:val="24"/>
        </w:rPr>
        <w:t>Y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– הציר האנכי – בו יירשם </w:t>
      </w:r>
      <w:r w:rsidRPr="007960C2">
        <w:rPr>
          <w:rFonts w:ascii="David" w:eastAsia="Calibri" w:hAnsi="David" w:cs="David" w:hint="cs"/>
          <w:sz w:val="24"/>
          <w:szCs w:val="24"/>
          <w:rtl/>
        </w:rPr>
        <w:t xml:space="preserve">הגורם </w:t>
      </w:r>
      <w:r w:rsidRPr="007960C2">
        <w:rPr>
          <w:rFonts w:ascii="David" w:eastAsia="Calibri" w:hAnsi="David" w:cs="David"/>
          <w:sz w:val="24"/>
          <w:szCs w:val="24"/>
          <w:rtl/>
        </w:rPr>
        <w:t>המושפע – התוצאה/ התוצאות של הניסוי</w:t>
      </w:r>
    </w:p>
    <w:p w14:paraId="7022FD89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sz w:val="24"/>
          <w:szCs w:val="24"/>
          <w:rtl/>
        </w:rPr>
        <w:t>בכל אחד מהצירים יירשם שם המשתנה והיחידות בהן הוא נמדד.</w:t>
      </w:r>
    </w:p>
    <w:p w14:paraId="096569DB" w14:textId="77777777" w:rsidR="005745A3" w:rsidRPr="007960C2" w:rsidRDefault="005745A3" w:rsidP="0073700D">
      <w:pPr>
        <w:spacing w:line="360" w:lineRule="auto"/>
        <w:ind w:left="108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29ABE6B" w14:textId="77777777" w:rsidR="005745A3" w:rsidRPr="007960C2" w:rsidRDefault="005745A3" w:rsidP="0073700D">
      <w:pPr>
        <w:spacing w:line="360" w:lineRule="auto"/>
        <w:rPr>
          <w:rFonts w:ascii="David" w:hAnsi="David" w:cs="David"/>
          <w:sz w:val="24"/>
          <w:szCs w:val="24"/>
        </w:rPr>
      </w:pPr>
    </w:p>
    <w:p w14:paraId="24DB6922" w14:textId="77777777" w:rsidR="005745A3" w:rsidRPr="007960C2" w:rsidRDefault="005745A3" w:rsidP="0073700D">
      <w:pPr>
        <w:spacing w:line="360" w:lineRule="auto"/>
        <w:rPr>
          <w:rFonts w:ascii="David" w:hAnsi="David" w:cs="David"/>
          <w:sz w:val="24"/>
          <w:szCs w:val="24"/>
        </w:rPr>
      </w:pPr>
    </w:p>
    <w:sectPr w:rsidR="005745A3" w:rsidRPr="007960C2" w:rsidSect="000205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558"/>
    <w:multiLevelType w:val="hybridMultilevel"/>
    <w:tmpl w:val="825A2288"/>
    <w:lvl w:ilvl="0" w:tplc="803AA32A">
      <w:start w:val="1"/>
      <w:numFmt w:val="bullet"/>
      <w:lvlText w:val=""/>
      <w:lvlJc w:val="left"/>
      <w:pPr>
        <w:tabs>
          <w:tab w:val="num" w:pos="510"/>
        </w:tabs>
        <w:ind w:left="510" w:right="510" w:hanging="283"/>
      </w:pPr>
      <w:rPr>
        <w:rFonts w:ascii="Wingdings" w:hAnsi="Wingdings" w:hint="default"/>
      </w:rPr>
    </w:lvl>
    <w:lvl w:ilvl="1" w:tplc="3328E13C">
      <w:start w:val="1"/>
      <w:numFmt w:val="bullet"/>
      <w:lvlText w:val="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b/>
        <w:bCs w:val="0"/>
        <w:i w:val="0"/>
        <w:iCs w:val="0"/>
        <w:color w:val="auto"/>
        <w:sz w:val="24"/>
        <w:szCs w:val="24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25B95093"/>
    <w:multiLevelType w:val="hybridMultilevel"/>
    <w:tmpl w:val="B57CD64E"/>
    <w:lvl w:ilvl="0" w:tplc="0409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" w15:restartNumberingAfterBreak="0">
    <w:nsid w:val="3F3C1542"/>
    <w:multiLevelType w:val="hybridMultilevel"/>
    <w:tmpl w:val="28ACBB20"/>
    <w:lvl w:ilvl="0" w:tplc="2EBE7DCE">
      <w:start w:val="1"/>
      <w:numFmt w:val="bullet"/>
      <w:lvlText w:val="-"/>
      <w:lvlJc w:val="left"/>
      <w:pPr>
        <w:tabs>
          <w:tab w:val="num" w:pos="510"/>
        </w:tabs>
        <w:ind w:left="510" w:right="510" w:hanging="283"/>
      </w:pPr>
      <w:rPr>
        <w:rFonts w:ascii="Arial" w:eastAsia="Calibri" w:hAnsi="Arial" w:cs="Arial" w:hint="default"/>
      </w:rPr>
    </w:lvl>
    <w:lvl w:ilvl="1" w:tplc="FFC2641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/>
        <w:bCs w:val="0"/>
        <w:i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4B5F2EB4"/>
    <w:multiLevelType w:val="hybridMultilevel"/>
    <w:tmpl w:val="FE5E14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4A71A1"/>
    <w:multiLevelType w:val="hybridMultilevel"/>
    <w:tmpl w:val="8EB41994"/>
    <w:lvl w:ilvl="0" w:tplc="FFC26416">
      <w:start w:val="1"/>
      <w:numFmt w:val="bullet"/>
      <w:lvlText w:val=""/>
      <w:lvlJc w:val="left"/>
      <w:pPr>
        <w:tabs>
          <w:tab w:val="num" w:pos="587"/>
        </w:tabs>
        <w:ind w:left="587" w:right="587" w:hanging="360"/>
      </w:pPr>
      <w:rPr>
        <w:rFonts w:ascii="Symbol" w:hAnsi="Symbol" w:hint="default"/>
        <w:b/>
        <w:bCs w:val="0"/>
        <w:i w:val="0"/>
        <w:iCs w:val="0"/>
        <w:color w:val="auto"/>
        <w:sz w:val="24"/>
        <w:szCs w:val="24"/>
      </w:rPr>
    </w:lvl>
    <w:lvl w:ilvl="1" w:tplc="A490B41E">
      <w:start w:val="1"/>
      <w:numFmt w:val="bullet"/>
      <w:lvlText w:val="-"/>
      <w:lvlJc w:val="left"/>
      <w:pPr>
        <w:tabs>
          <w:tab w:val="num" w:pos="1440"/>
        </w:tabs>
        <w:ind w:left="1440" w:right="108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5BA33825"/>
    <w:multiLevelType w:val="hybridMultilevel"/>
    <w:tmpl w:val="511C25A6"/>
    <w:lvl w:ilvl="0" w:tplc="DB70E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2264A"/>
    <w:multiLevelType w:val="hybridMultilevel"/>
    <w:tmpl w:val="2A5690E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595959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DE52ED"/>
    <w:multiLevelType w:val="hybridMultilevel"/>
    <w:tmpl w:val="6D967ADE"/>
    <w:lvl w:ilvl="0" w:tplc="B3D4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945DB"/>
    <w:multiLevelType w:val="hybridMultilevel"/>
    <w:tmpl w:val="DB4E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11D28"/>
    <w:multiLevelType w:val="hybridMultilevel"/>
    <w:tmpl w:val="17708308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7B8B49C3"/>
    <w:multiLevelType w:val="hybridMultilevel"/>
    <w:tmpl w:val="A072DD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2D7C57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C577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B6"/>
    <w:rsid w:val="0002050F"/>
    <w:rsid w:val="00145EB6"/>
    <w:rsid w:val="001A0438"/>
    <w:rsid w:val="003D6111"/>
    <w:rsid w:val="00414070"/>
    <w:rsid w:val="00504CD2"/>
    <w:rsid w:val="00541A9D"/>
    <w:rsid w:val="005745A3"/>
    <w:rsid w:val="00614676"/>
    <w:rsid w:val="00642007"/>
    <w:rsid w:val="00677B12"/>
    <w:rsid w:val="00683D07"/>
    <w:rsid w:val="006F5C58"/>
    <w:rsid w:val="0073700D"/>
    <w:rsid w:val="00764AA3"/>
    <w:rsid w:val="007960C2"/>
    <w:rsid w:val="0086777D"/>
    <w:rsid w:val="009D2A9A"/>
    <w:rsid w:val="00AA5AAC"/>
    <w:rsid w:val="00B80CAC"/>
    <w:rsid w:val="00BA542C"/>
    <w:rsid w:val="00C70775"/>
    <w:rsid w:val="00D0487D"/>
    <w:rsid w:val="00D37B9C"/>
    <w:rsid w:val="00F31408"/>
    <w:rsid w:val="00F34A58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9F42"/>
  <w15:docId w15:val="{664CD2FA-2AEC-4A0F-9FC0-74505567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next w:val="a"/>
    <w:link w:val="40"/>
    <w:qFormat/>
    <w:rsid w:val="009D2A9A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3D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5EB6"/>
    <w:pPr>
      <w:ind w:left="720"/>
      <w:contextualSpacing/>
    </w:pPr>
  </w:style>
  <w:style w:type="character" w:customStyle="1" w:styleId="40">
    <w:name w:val="כותרת 4 תו"/>
    <w:basedOn w:val="a0"/>
    <w:link w:val="4"/>
    <w:rsid w:val="009D2A9A"/>
    <w:rPr>
      <w:rFonts w:ascii="Arial" w:eastAsia="Times New Roman" w:hAnsi="Arial" w:cs="Arial"/>
      <w:b/>
      <w:bCs/>
      <w:u w:val="single"/>
    </w:rPr>
  </w:style>
  <w:style w:type="character" w:customStyle="1" w:styleId="50">
    <w:name w:val="כותרת 5 תו"/>
    <w:basedOn w:val="a0"/>
    <w:link w:val="5"/>
    <w:uiPriority w:val="9"/>
    <w:semiHidden/>
    <w:rsid w:val="00683D0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a"/>
    <w:uiPriority w:val="99"/>
    <w:unhideWhenUsed/>
    <w:rsid w:val="00F314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31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נטע</dc:creator>
  <cp:lastModifiedBy>אורנה גבע קורנגרין</cp:lastModifiedBy>
  <cp:revision>3</cp:revision>
  <dcterms:created xsi:type="dcterms:W3CDTF">2020-07-14T18:46:00Z</dcterms:created>
  <dcterms:modified xsi:type="dcterms:W3CDTF">2020-07-14T18:47:00Z</dcterms:modified>
</cp:coreProperties>
</file>